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>
          <w:rFonts w:ascii="Times New Roman" w:hAnsi="Times New Roman" w:eastAsia="Cambria"/>
          <w:b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Cambria" w:ascii="Times New Roman" w:hAnsi="Times New Roman"/>
          <w:b/>
          <w:bCs/>
          <w:color w:val="000000"/>
          <w:sz w:val="24"/>
          <w:szCs w:val="24"/>
          <w:lang w:eastAsia="pl-PL" w:bidi="pl-PL"/>
        </w:rPr>
        <w:t>KLAUZULA INFORMACYJNA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>
          <w:rStyle w:val="Strong"/>
          <w:rFonts w:ascii="Times New Roman" w:hAnsi="Times New Roman"/>
          <w:sz w:val="24"/>
          <w:szCs w:val="24"/>
        </w:rPr>
      </w:pPr>
      <w:r>
        <w:rPr>
          <w:rFonts w:eastAsia="Cambria" w:ascii="Times New Roman" w:hAnsi="Times New Roman"/>
          <w:b/>
          <w:bCs/>
          <w:color w:val="000000"/>
          <w:sz w:val="24"/>
          <w:szCs w:val="24"/>
          <w:lang w:eastAsia="pl-PL" w:bidi="pl-PL"/>
        </w:rPr>
        <w:t>dla pracowników zatrudnionych na podstawie umowy o pracę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w ………………………………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>
          <w:rFonts w:ascii="Times New Roman" w:hAnsi="Times New Roman" w:eastAsia="Cambria"/>
          <w:b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Cambria" w:ascii="Times New Roman" w:hAnsi="Times New Roman"/>
          <w:b/>
          <w:bCs/>
          <w:color w:val="000000"/>
          <w:sz w:val="24"/>
          <w:szCs w:val="24"/>
          <w:lang w:eastAsia="pl-PL" w:bidi="pl-PL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 Administrator  danych:</w:t>
      </w:r>
    </w:p>
    <w:p>
      <w:pPr>
        <w:pStyle w:val="Normal"/>
        <w:jc w:val="both"/>
        <w:rPr>
          <w:rFonts w:ascii="Times New Roman" w:hAnsi="Times New Roman"/>
          <w:sz w:val="20"/>
        </w:rPr>
      </w:pPr>
      <w:bookmarkStart w:id="0" w:name="_Hlk6396013"/>
      <w:bookmarkStart w:id="1" w:name="_Hlk7003759"/>
      <w:r>
        <w:rPr>
          <w:rFonts w:ascii="Times New Roman" w:hAnsi="Times New Roman"/>
          <w:sz w:val="20"/>
        </w:rPr>
        <w:t xml:space="preserve">Administratorem Pani/Pana danych osobowych jest …………………... Dane adresowe: ……………….. Telefon: …………. Adres e-mail: </w:t>
      </w:r>
      <w:bookmarkEnd w:id="1"/>
      <w:r>
        <w:rPr>
          <w:rFonts w:ascii="Times New Roman" w:hAnsi="Times New Roman"/>
          <w:sz w:val="20"/>
        </w:rPr>
        <w:t>……………………</w:t>
      </w:r>
      <w:bookmarkEnd w:id="0"/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  <w:sz w:val="20"/>
          <w:szCs w:val="20"/>
        </w:rPr>
        <w:t xml:space="preserve"> </w:t>
      </w:r>
      <w:bookmarkEnd w:id="2"/>
      <w:r>
        <w:rPr>
          <w:rFonts w:ascii="Times New Roman" w:hAnsi="Times New Roman"/>
          <w:sz w:val="20"/>
          <w:szCs w:val="20"/>
        </w:rPr>
        <w:t>w następujący sposób: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drogą elektroniczną: daneosobowe@csw.pl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telefonicznie: 52 56 83 108,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eastAsia="Cambria" w:ascii="Times New Roman" w:hAnsi="Times New Roman"/>
          <w:b/>
          <w:color w:val="000000"/>
          <w:sz w:val="20"/>
          <w:szCs w:val="20"/>
          <w:lang w:eastAsia="pl-PL" w:bidi="pl-PL"/>
        </w:rPr>
        <w:t xml:space="preserve"> Dane osobowe pracowników będą przetwarzane przez pracodawcę w szczególności w następujących celach: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organizacji i zarządzania pracy pracowników - w zakresie niezbędnym wynikającym z Ko</w:t>
        <w:softHyphen/>
        <w:t>deksu pracy - przez okres zatrudnienia;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wyliczania i wypłaty wynagrodzeń - w celu realizacji</w:t>
      </w:r>
      <w:bookmarkStart w:id="3" w:name="_GoBack"/>
      <w:bookmarkEnd w:id="3"/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 obowiązku wynikającego z Kodeksu pracy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6 ust. 1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lit.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c,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9 ust. 2 lit. b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potrąceń z wynagrodzenia - w celu realizacji obowiązków w zakresie egzekucji z wynagro</w:t>
        <w:softHyphen/>
        <w:t>dzenia wynikających z Kodeksu pracy, Kodeksu postępowania cywilnego, ustawy o postępo</w:t>
        <w:softHyphen/>
        <w:t xml:space="preserve">waniu egzekucyjnym w administracji, ustawy o komornikach sądowych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6 ust. 1 lit. c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realizacji obowiązków pracodawcy wobec pracowników wynikających z ogólnie obowiązu</w:t>
        <w:softHyphen/>
        <w:t>jących oraz wewnętrznych przepisów prawa pracy - w celu realizacji obowiązków praco</w:t>
        <w:softHyphen/>
        <w:t xml:space="preserve">dawcy wynikających z Kodeksu pracy i innych przepisów prawa pracy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6 ust. 1 lit. c,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9 ust. 2 lit. b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realizacji obowiązków bhp - w celu realizacji obowiązków pracodawcy wynikających z Ko</w:t>
        <w:softHyphen/>
        <w:t xml:space="preserve">deksu pracy, rozporządzenia w sprawie ogólnych przepisów bhp i innych przepisów prawa pracy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6 ust. 1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lit.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c, </w:t>
      </w:r>
      <w:bookmarkStart w:id="4" w:name="_Hlk526765208"/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9 ust. 2 lit. b RODO</w:t>
      </w:r>
      <w:bookmarkEnd w:id="4"/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prowadzenia akt pracowniczych - w celu realizacji obowiązków pracodawcy wynikających z Kodeksu pracy, ustawy o narodowym zasobie archiwalnym i archiwach oraz rozporządze</w:t>
        <w:softHyphen/>
        <w:t>nia w sprawie zakresu prowadzenia przez pracodawców dokumentacji w sprawach związa</w:t>
        <w:softHyphen/>
        <w:t xml:space="preserve">nych ze stosunkiem pracy oraz sposobów prowadzenia akt osobowych pracownika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6 ust. 1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lit.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c,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9 ust. 2 lit. b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realizacji obowiązków wobec ZUS - w celu realizacji obowiązków płatnika składek eme</w:t>
        <w:softHyphen/>
        <w:t>rytalno-rentowych wynikających z ustawy o emeryturach i rentach z Funduszu Ubezpie</w:t>
        <w:softHyphen/>
        <w:t xml:space="preserve">czeń Społecznych, ustawy o systemie ubezpieczeń społecznych oraz ustawy o świadczeniach opieki zdrowotnej finansowanych ze środków publicznych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6 ust. 1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lit.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c,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9 ust. 2 lit. b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realizacji obowiązków podatkowych - w celu realizacji obowiązków płatnika podatku do</w:t>
        <w:softHyphen/>
        <w:t xml:space="preserve">chodowego wynikających z Ordynacji podatkowej, ustawy o podatku dochodowym od osób fizycznych i innych przepisów podatkowych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6 ust. 1 lit. c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obowiązków księgowo-rachunkowych - w celu realizacji obowiązków wynikających z ustawy o rachunkowości, Ordynacji podatkowej oraz ustawy o podatku dochodowym od osób prawnych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6 ust. 1 lit. c RODO);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realizacji </w:t>
      </w:r>
      <w:r>
        <w:rPr>
          <w:rFonts w:eastAsia="Cambria" w:ascii="Times New Roman" w:hAnsi="Times New Roman"/>
          <w:iCs/>
          <w:color w:val="000000"/>
          <w:sz w:val="20"/>
          <w:szCs w:val="20"/>
          <w:lang w:eastAsia="pl-PL" w:bidi="pl-PL"/>
        </w:rPr>
        <w:t xml:space="preserve"> świadczeń dla osób uprawnionych do korzystania z Zakładowego Funduszu  Świadczeń Socjalnych, na podstawie art. 8 ustawy o zakładowym funduszu świadczeń socjalnych w związku z art. 6 ust. 1 lit. c RODO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 oraz 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9 ust. 2 lit. b RODO;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dochodzenia roszczeń lub obrony przed roszczeniami - polegającego na występowaniu w spra</w:t>
        <w:softHyphen/>
        <w:t>wach sądowych, na podstawie przepisów Kodeksu pracy, Kodeksu cywilnego oraz Kodeksu karnego lub innych właściwych przepisów;</w:t>
      </w:r>
    </w:p>
    <w:p>
      <w:pPr>
        <w:pStyle w:val="Normal"/>
        <w:widowControl w:val="false"/>
        <w:tabs>
          <w:tab w:val="left" w:pos="506" w:leader="none"/>
        </w:tabs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Pracodawca udostępnia dane osobowe pracowników w następujących przypadkach: gdy taki obowiązek wynika z przepisów obowiązującego prawa, m.in. do ZUS, NFZ, Urzę</w:t>
        <w:softHyphen/>
        <w:t>dom Pracy, Krajowej Administracji Skarbowej, PFRON, komornikom sądowym, Państwowej Inspekcji Pracy, Państwowej Inspekcji Sanitarnej, innym organom państwowym; gdy jest to niezbędne dla realizacji potrzeb pracodawcy, będących konsekwencją zawartego stosunku pracy; partnerom handlowym, kontrahentom i klientom - wyłącznie w zakresie danych służbo</w:t>
        <w:softHyphen/>
        <w:t>wych, a w pozostałym zakresie wyłącznie po uzyskaniu odrębnej, dobrowolnej zgody pra</w:t>
        <w:softHyphen/>
        <w:t>cownika.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Ponadto dane osobowe pracowników mogą być ujawniane podmiotom przetwarzającym na zle</w:t>
        <w:softHyphen/>
        <w:t>cenie i w imieniu pracodawcy, na podstawie zawartej umowy powierzenia przetwarzania danych osobowych, w celu świadczenia określonych w umowie usług na rzecz pracodawcy.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Prawa osób, których dane osobowe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związku z przetwarzaniem Pani/Pana danych osobowych przysługują Pani/Panu następujące uprawnienia: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color w:val="000000"/>
          <w:sz w:val="20"/>
          <w:szCs w:val="2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color w:val="000000"/>
          <w:sz w:val="20"/>
          <w:szCs w:val="20"/>
          <w:lang w:eastAsia="pl-PL" w:bidi="pl-PL"/>
        </w:rPr>
        <w:t>do usunięcia danych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  <w:softHyphen/>
        <w:t>twarzania lub były przetwarzane niezgodnie z prawem (art. 17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color w:val="000000"/>
          <w:sz w:val="20"/>
          <w:szCs w:val="2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uppressAutoHyphens w:val="false"/>
        <w:spacing w:lineRule="auto" w:line="240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uppressAutoHyphens w:val="false"/>
        <w:spacing w:lineRule="auto" w:line="240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uppressAutoHyphens w:val="false"/>
        <w:spacing w:lineRule="auto" w:line="240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uppressAutoHyphens w:val="false"/>
        <w:spacing w:lineRule="auto" w:line="240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uppressAutoHyphens w:val="false"/>
        <w:spacing w:lineRule="auto" w:line="240" w:before="0" w:after="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do przenoszenia danych -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otrzymania w ustrukturyzowanym, powszechnie używanym for</w:t>
        <w:softHyphen/>
        <w:t>macie nadającym się do odczytu maszynowego danych osobowych jej dotyczących, które do</w:t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 w:ascii="Times New Roman" w:hAnsi="Times New Roman"/>
          <w:color w:val="000000"/>
          <w:sz w:val="20"/>
          <w:szCs w:val="2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20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39" w:leader="none"/>
        </w:tabs>
        <w:suppressAutoHyphens w:val="false"/>
        <w:spacing w:lineRule="auto" w:line="240" w:before="0" w:after="120"/>
        <w:jc w:val="both"/>
        <w:textAlignment w:val="auto"/>
        <w:rPr>
          <w:sz w:val="20"/>
          <w:szCs w:val="20"/>
        </w:rPr>
      </w:pPr>
      <w:r>
        <w:rPr>
          <w:rFonts w:eastAsia="Cambria" w:ascii="Times New Roman" w:hAnsi="Times New Roman"/>
          <w:b/>
          <w:bCs/>
          <w:color w:val="000000"/>
          <w:sz w:val="20"/>
          <w:szCs w:val="20"/>
          <w:lang w:eastAsia="pl-PL" w:bidi="pl-PL"/>
        </w:rPr>
        <w:t xml:space="preserve">do cofnięcia zgody </w:t>
      </w: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w każdym momencie i bez podawania przyczyny, lecz przetwarzanie danych osobowych dokonane przed cofnięciem zgody nadal pozostanie zgodne z prawem. Cofnięcie zgody spowoduje zaprzestanie przetwarzania przez administratora danych oso</w:t>
        <w:softHyphen/>
        <w:t>bowych w celu, w którym zgoda ta została wyrażona.</w:t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Cambria"/>
          <w:color w:val="000000"/>
          <w:sz w:val="20"/>
          <w:szCs w:val="20"/>
          <w:lang w:eastAsia="pl-PL" w:bidi="pl-PL"/>
        </w:rPr>
      </w:pPr>
      <w:r>
        <w:rPr>
          <w:rFonts w:eastAsia="Cambria" w:ascii="Times New Roman" w:hAnsi="Times New Roman"/>
          <w:color w:val="000000"/>
          <w:sz w:val="20"/>
          <w:szCs w:val="2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br/>
        <w:t>Osoba, której dane dotyczą, ma prawo wnieść skargę do organu nadzoru, którym w Polsce jest Prezes Urzędu Ochrony Danych Osobowych z siedzibą w Warszawie.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podanie przez Panią/Pana danych osobowych wymaganych przepisami prawa, może skutkować pozostawieniem sprawy bez rozpatrzenia lub nie będzie możliwe zawarcie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9. Państwa dane osobowe nie są i nie będą przetwarzane w sposób zautomatyzowany, w celu podjęcia jakiejkolwiek decyzji i nie będą profilowane.</w:t>
      </w:r>
    </w:p>
    <w:sectPr>
      <w:type w:val="nextPage"/>
      <w:pgSz w:w="11906" w:h="16838"/>
      <w:pgMar w:left="567" w:right="424" w:header="0" w:top="284" w:footer="0" w:bottom="56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z w:val="20"/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qFormat/>
    <w:rPr>
      <w:rFonts w:ascii="Cambria" w:hAnsi="Cambria" w:eastAsia="Cambria" w:cs="Cambria"/>
      <w:sz w:val="17"/>
      <w:szCs w:val="17"/>
      <w:shd w:fill="FFFFFF" w:val="clear"/>
    </w:rPr>
  </w:style>
  <w:style w:type="character" w:styleId="TekstpodstawowyZnak1" w:customStyle="1">
    <w:name w:val="Tekst podstawowy Znak1"/>
    <w:basedOn w:val="DefaultParagraphFont"/>
    <w:qFormat/>
    <w:rPr/>
  </w:style>
  <w:style w:type="character" w:styleId="Wyrnienie">
    <w:name w:val="Wyróżnienie"/>
    <w:basedOn w:val="DefaultParagraphFont"/>
    <w:qFormat/>
    <w:rPr>
      <w:i/>
      <w:iCs/>
    </w:rPr>
  </w:style>
  <w:style w:type="character" w:styleId="Nagwek2Znak" w:customStyle="1">
    <w:name w:val="Nagłówek 2 Znak"/>
    <w:basedOn w:val="DefaultParagraphFont"/>
    <w:qFormat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sz w:val="20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17"/>
      <w:u w:val="none"/>
      <w:vertAlign w:val="baseline"/>
      <w:lang w:val="pl-PL" w:eastAsia="pl-PL" w:bidi="pl-PL"/>
    </w:rPr>
  </w:style>
  <w:style w:type="character" w:styleId="ListLabel6">
    <w:name w:val="ListLabel 6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17"/>
      <w:u w:val="none"/>
      <w:vertAlign w:val="baseline"/>
      <w:lang w:val="pl-PL" w:eastAsia="pl-PL" w:bidi="pl-PL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hd w:val="clear" w:color="auto" w:fill="FFFFFF"/>
      <w:suppressAutoHyphens w:val="false"/>
      <w:spacing w:lineRule="auto" w:line="240" w:before="0" w:after="0"/>
      <w:jc w:val="both"/>
      <w:textAlignment w:val="auto"/>
    </w:pPr>
    <w:rPr>
      <w:rFonts w:ascii="Cambria" w:hAnsi="Cambria" w:eastAsia="Cambria" w:cs="Cambria"/>
      <w:sz w:val="17"/>
      <w:szCs w:val="17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611F5A7B.dotm</Template>
  <TotalTime>18</TotalTime>
  <Application>OpenOfficePL/2019.0.0.0$Windows_x86 LibreOffice_project/0c292870b25a325b5ed35f6b45599d2ea4458e77</Application>
  <Pages>2</Pages>
  <Words>1235</Words>
  <Characters>7768</Characters>
  <CharactersWithSpaces>8939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2019-01-07T08:14:00Z</dcterms:created>
  <dc:creator>Marek Puś</dc:creator>
  <dc:description/>
  <dc:language>pl-PL</dc:language>
  <cp:lastModifiedBy/>
  <cp:lastPrinted>2018-10-18T08:39:00Z</cp:lastPrinted>
  <dcterms:modified xsi:type="dcterms:W3CDTF">2025-06-20T09:21:26Z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